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2478"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72EA3613"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37B41997"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152E8F66"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4FFFCD1E"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222FA064"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75FD06DA"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2AEB29DF"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3FA9059E"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636346FA"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058E6217" w14:textId="52495C35" w:rsidR="00FD0ADB" w:rsidRPr="00850F0B" w:rsidRDefault="00FD0ADB" w:rsidP="00850F0B">
      <w:pPr>
        <w:spacing w:line="480" w:lineRule="auto"/>
        <w:ind w:firstLine="567"/>
        <w:jc w:val="center"/>
        <w:rPr>
          <w:rFonts w:ascii="Times New Roman" w:hAnsi="Times New Roman" w:cs="Times New Roman"/>
          <w:sz w:val="24"/>
          <w:szCs w:val="24"/>
          <w:lang w:val="en-US"/>
        </w:rPr>
      </w:pPr>
      <w:r w:rsidRPr="00850F0B">
        <w:rPr>
          <w:rFonts w:ascii="Times New Roman" w:hAnsi="Times New Roman" w:cs="Times New Roman"/>
          <w:sz w:val="24"/>
          <w:szCs w:val="24"/>
          <w:lang w:val="en-US"/>
        </w:rPr>
        <w:t>Read and Notes</w:t>
      </w:r>
    </w:p>
    <w:p w14:paraId="5C48A601" w14:textId="2249D573" w:rsidR="00FD0ADB" w:rsidRPr="00850F0B" w:rsidRDefault="00FD0ADB" w:rsidP="00850F0B">
      <w:pPr>
        <w:spacing w:line="480" w:lineRule="auto"/>
        <w:ind w:firstLine="567"/>
        <w:jc w:val="center"/>
        <w:rPr>
          <w:rFonts w:ascii="Times New Roman" w:hAnsi="Times New Roman" w:cs="Times New Roman"/>
          <w:sz w:val="24"/>
          <w:szCs w:val="24"/>
          <w:lang w:val="en-US"/>
        </w:rPr>
      </w:pPr>
      <w:r w:rsidRPr="00850F0B">
        <w:rPr>
          <w:rFonts w:ascii="Times New Roman" w:hAnsi="Times New Roman" w:cs="Times New Roman"/>
          <w:sz w:val="24"/>
          <w:szCs w:val="24"/>
          <w:lang w:val="en-US"/>
        </w:rPr>
        <w:t>Name Of Student</w:t>
      </w:r>
    </w:p>
    <w:p w14:paraId="06790400" w14:textId="14A33511" w:rsidR="00FD0ADB" w:rsidRPr="00850F0B" w:rsidRDefault="00FD0ADB" w:rsidP="00850F0B">
      <w:pPr>
        <w:spacing w:line="480" w:lineRule="auto"/>
        <w:ind w:firstLine="567"/>
        <w:jc w:val="center"/>
        <w:rPr>
          <w:rFonts w:ascii="Times New Roman" w:hAnsi="Times New Roman" w:cs="Times New Roman"/>
          <w:sz w:val="24"/>
          <w:szCs w:val="24"/>
          <w:lang w:val="en-US"/>
        </w:rPr>
      </w:pPr>
      <w:r w:rsidRPr="00850F0B">
        <w:rPr>
          <w:rFonts w:ascii="Times New Roman" w:hAnsi="Times New Roman" w:cs="Times New Roman"/>
          <w:sz w:val="24"/>
          <w:szCs w:val="24"/>
          <w:lang w:val="en-US"/>
        </w:rPr>
        <w:t>Institution</w:t>
      </w:r>
    </w:p>
    <w:p w14:paraId="778B08E7" w14:textId="72A6C9F9" w:rsidR="00FD0ADB" w:rsidRPr="00850F0B" w:rsidRDefault="00FD0ADB" w:rsidP="00850F0B">
      <w:pPr>
        <w:spacing w:line="480" w:lineRule="auto"/>
        <w:ind w:firstLine="567"/>
        <w:jc w:val="center"/>
        <w:rPr>
          <w:rFonts w:ascii="Times New Roman" w:hAnsi="Times New Roman" w:cs="Times New Roman"/>
          <w:sz w:val="24"/>
          <w:szCs w:val="24"/>
          <w:lang w:val="en-US"/>
        </w:rPr>
      </w:pPr>
      <w:r w:rsidRPr="00850F0B">
        <w:rPr>
          <w:rFonts w:ascii="Times New Roman" w:hAnsi="Times New Roman" w:cs="Times New Roman"/>
          <w:sz w:val="24"/>
          <w:szCs w:val="24"/>
          <w:lang w:val="en-US"/>
        </w:rPr>
        <w:t>Date</w:t>
      </w:r>
    </w:p>
    <w:p w14:paraId="039F378B" w14:textId="0E227A22"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5BB42B63" w14:textId="29F16848"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2D3A5A8A" w14:textId="32B02571"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2A993A91" w14:textId="53689056"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0E37A4CF" w14:textId="07BA5B4A"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134CE14E" w14:textId="77777777" w:rsidR="00FD0ADB" w:rsidRPr="00850F0B" w:rsidRDefault="00FD0ADB" w:rsidP="00850F0B">
      <w:pPr>
        <w:spacing w:line="480" w:lineRule="auto"/>
        <w:ind w:firstLine="567"/>
        <w:jc w:val="center"/>
        <w:rPr>
          <w:rFonts w:ascii="Times New Roman" w:hAnsi="Times New Roman" w:cs="Times New Roman"/>
          <w:sz w:val="24"/>
          <w:szCs w:val="24"/>
          <w:lang w:val="en-US"/>
        </w:rPr>
      </w:pPr>
    </w:p>
    <w:p w14:paraId="547653BB" w14:textId="076C2264" w:rsidR="00FD0ADB" w:rsidRPr="00850F0B" w:rsidRDefault="00FD0ADB" w:rsidP="00850F0B">
      <w:pPr>
        <w:spacing w:line="480" w:lineRule="auto"/>
        <w:jc w:val="center"/>
        <w:rPr>
          <w:rFonts w:ascii="Times New Roman" w:hAnsi="Times New Roman" w:cs="Times New Roman"/>
          <w:b/>
          <w:bCs/>
          <w:sz w:val="24"/>
          <w:szCs w:val="24"/>
          <w:lang w:val="en-US"/>
        </w:rPr>
      </w:pPr>
      <w:r w:rsidRPr="00850F0B">
        <w:rPr>
          <w:rFonts w:ascii="Times New Roman" w:hAnsi="Times New Roman" w:cs="Times New Roman"/>
          <w:b/>
          <w:bCs/>
          <w:sz w:val="24"/>
          <w:szCs w:val="24"/>
          <w:lang w:val="en-US"/>
        </w:rPr>
        <w:lastRenderedPageBreak/>
        <w:t xml:space="preserve">           </w:t>
      </w:r>
      <w:r w:rsidRPr="00850F0B">
        <w:rPr>
          <w:rFonts w:ascii="Times New Roman" w:hAnsi="Times New Roman" w:cs="Times New Roman"/>
          <w:b/>
          <w:bCs/>
          <w:sz w:val="24"/>
          <w:szCs w:val="24"/>
          <w:lang w:val="en-US"/>
        </w:rPr>
        <w:t>Misgendering</w:t>
      </w:r>
    </w:p>
    <w:p w14:paraId="5A132083" w14:textId="444F9E0F" w:rsidR="00FD0ADB" w:rsidRPr="00850F0B" w:rsidRDefault="00FD0ADB" w:rsidP="00850F0B">
      <w:pPr>
        <w:spacing w:line="480" w:lineRule="auto"/>
        <w:ind w:firstLine="567"/>
        <w:rPr>
          <w:rFonts w:ascii="Times New Roman" w:hAnsi="Times New Roman" w:cs="Times New Roman"/>
          <w:sz w:val="24"/>
          <w:szCs w:val="24"/>
          <w:lang w:val="en-US"/>
        </w:rPr>
      </w:pPr>
      <w:r w:rsidRPr="00850F0B">
        <w:rPr>
          <w:rFonts w:ascii="Times New Roman" w:hAnsi="Times New Roman" w:cs="Times New Roman"/>
          <w:sz w:val="24"/>
          <w:szCs w:val="24"/>
          <w:lang w:val="en-US"/>
        </w:rPr>
        <w:t>Misgendering is a term used to refer to the act of identifying people with the gender they initially identified with before transition. The transgender, non-binary, and gender non-conforming gropes are commonly affected. Misgendering can be done intentionally or unintentionally. It can also occur when one mistakenly refers to a man as she or vice versa.  Misgendering can happen due to several reasons. One is when one makes an assumption person’s gender based on their primary or secondary characteristics</w:t>
      </w:r>
      <w:r w:rsidRPr="00850F0B">
        <w:rPr>
          <w:rFonts w:ascii="Times New Roman" w:hAnsi="Times New Roman" w:cs="Times New Roman"/>
          <w:sz w:val="24"/>
          <w:szCs w:val="24"/>
          <w:lang w:val="en-US"/>
        </w:rPr>
        <w:t xml:space="preserve"> </w:t>
      </w:r>
      <w:r w:rsidRPr="00850F0B">
        <w:rPr>
          <w:rFonts w:ascii="Times New Roman" w:hAnsi="Times New Roman" w:cs="Times New Roman"/>
          <w:sz w:val="24"/>
          <w:szCs w:val="24"/>
          <w:lang w:val="en-US"/>
        </w:rPr>
        <w:t>(</w:t>
      </w:r>
      <w:r w:rsidRPr="00850F0B">
        <w:rPr>
          <w:rFonts w:ascii="Times New Roman" w:hAnsi="Times New Roman" w:cs="Times New Roman"/>
          <w:sz w:val="24"/>
          <w:szCs w:val="24"/>
          <w:lang w:val="en-US"/>
        </w:rPr>
        <w:t xml:space="preserve">Health Line, </w:t>
      </w:r>
      <w:r w:rsidRPr="00850F0B">
        <w:rPr>
          <w:rFonts w:ascii="Times New Roman" w:hAnsi="Times New Roman" w:cs="Times New Roman"/>
          <w:sz w:val="24"/>
          <w:szCs w:val="24"/>
          <w:lang w:val="en-US"/>
        </w:rPr>
        <w:t>2021). It can also occur where the government identification is used where people might have not changed their gender markers.</w:t>
      </w:r>
    </w:p>
    <w:p w14:paraId="0045F756" w14:textId="059EF3ED" w:rsidR="00FD0ADB" w:rsidRPr="00850F0B" w:rsidRDefault="00FD0ADB" w:rsidP="00850F0B">
      <w:pPr>
        <w:spacing w:line="480" w:lineRule="auto"/>
        <w:ind w:firstLine="567"/>
        <w:rPr>
          <w:rFonts w:ascii="Times New Roman" w:hAnsi="Times New Roman" w:cs="Times New Roman"/>
          <w:sz w:val="24"/>
          <w:szCs w:val="24"/>
          <w:lang w:val="en-US"/>
        </w:rPr>
      </w:pPr>
      <w:r w:rsidRPr="00850F0B">
        <w:rPr>
          <w:rFonts w:ascii="Times New Roman" w:hAnsi="Times New Roman" w:cs="Times New Roman"/>
          <w:sz w:val="24"/>
          <w:szCs w:val="24"/>
          <w:lang w:val="en-US"/>
        </w:rPr>
        <w:t>Some people intentionally are misgendered because of their beliefs. this uses this as a way of bullying the trans community. This can have negative effects on the said community. It affects the body their mental health and their confidence. Research has shown that 32,8 % of the participants felt stigmatized when misgendered. The commonly misgendered population is the queer, transgenders, and those in the transition process. misgendering has conclusively reduced the sense of strength and continuity in their identity.</w:t>
      </w:r>
    </w:p>
    <w:p w14:paraId="172E41C3" w14:textId="77777777" w:rsidR="00FD0ADB" w:rsidRPr="00850F0B" w:rsidRDefault="00FD0ADB" w:rsidP="00850F0B">
      <w:pPr>
        <w:spacing w:line="480" w:lineRule="auto"/>
        <w:ind w:firstLine="567"/>
        <w:jc w:val="center"/>
        <w:rPr>
          <w:rFonts w:ascii="Times New Roman" w:hAnsi="Times New Roman" w:cs="Times New Roman"/>
          <w:b/>
          <w:bCs/>
          <w:sz w:val="24"/>
          <w:szCs w:val="24"/>
          <w:lang w:val="en-US"/>
        </w:rPr>
      </w:pPr>
      <w:r w:rsidRPr="00850F0B">
        <w:rPr>
          <w:rFonts w:ascii="Times New Roman" w:hAnsi="Times New Roman" w:cs="Times New Roman"/>
          <w:b/>
          <w:bCs/>
          <w:sz w:val="24"/>
          <w:szCs w:val="24"/>
          <w:lang w:val="en-US"/>
        </w:rPr>
        <w:t>Puberty blockers</w:t>
      </w:r>
    </w:p>
    <w:p w14:paraId="0DB8D131" w14:textId="5B5FC38D" w:rsidR="00522663" w:rsidRDefault="00522663" w:rsidP="00850F0B">
      <w:pPr>
        <w:spacing w:line="480" w:lineRule="auto"/>
        <w:ind w:firstLine="567"/>
        <w:rPr>
          <w:rFonts w:ascii="Times New Roman" w:hAnsi="Times New Roman" w:cs="Times New Roman"/>
          <w:sz w:val="24"/>
          <w:szCs w:val="24"/>
          <w:lang w:val="en-US"/>
        </w:rPr>
      </w:pPr>
      <w:r w:rsidRPr="00522663">
        <w:rPr>
          <w:rFonts w:ascii="Times New Roman" w:hAnsi="Times New Roman" w:cs="Times New Roman"/>
          <w:sz w:val="24"/>
          <w:szCs w:val="24"/>
          <w:lang w:val="en-US"/>
        </w:rPr>
        <w:t xml:space="preserve">Transgender teenagers have been dealing with a variety of issues on a daily basis. They've been pushed to suicidality by some of them. The use of puberty blockers has been suggested as a way to reduce mental health issues and suicidal behavior in this group. Suicide attempts are twice as common in the trans community as they are in the general population. Puberty blockers are injected or implanted to prevent puberty. They then act as gonadotropin-releasing hormones, reducing the sensitivity of the pituitary gland to gonadotropin-releasing hormone. Puberty is therefore put on hold until the medicines are withdrawn. This procedure </w:t>
      </w:r>
      <w:r w:rsidRPr="00522663">
        <w:rPr>
          <w:rFonts w:ascii="Times New Roman" w:hAnsi="Times New Roman" w:cs="Times New Roman"/>
          <w:sz w:val="24"/>
          <w:szCs w:val="24"/>
          <w:lang w:val="en-US"/>
        </w:rPr>
        <w:lastRenderedPageBreak/>
        <w:t xml:space="preserve">has gained popularity in the United States, with at least 16% of the transgender community requesting </w:t>
      </w:r>
      <w:r>
        <w:rPr>
          <w:rFonts w:ascii="Times New Roman" w:hAnsi="Times New Roman" w:cs="Times New Roman"/>
          <w:sz w:val="24"/>
          <w:szCs w:val="24"/>
          <w:lang w:val="en-US"/>
        </w:rPr>
        <w:t xml:space="preserve">it </w:t>
      </w:r>
      <w:r w:rsidR="00FD0ADB" w:rsidRPr="00850F0B">
        <w:rPr>
          <w:rFonts w:ascii="Times New Roman" w:hAnsi="Times New Roman" w:cs="Times New Roman"/>
          <w:sz w:val="24"/>
          <w:szCs w:val="24"/>
          <w:lang w:val="en-US"/>
        </w:rPr>
        <w:t>but only 2. 5 % were lucky</w:t>
      </w:r>
      <w:r w:rsidR="00FD0ADB" w:rsidRPr="00850F0B">
        <w:rPr>
          <w:rFonts w:ascii="Times New Roman" w:hAnsi="Times New Roman" w:cs="Times New Roman"/>
          <w:sz w:val="24"/>
          <w:szCs w:val="24"/>
          <w:lang w:val="en-US"/>
        </w:rPr>
        <w:t xml:space="preserve"> </w:t>
      </w:r>
      <w:r w:rsidR="00FD0ADB" w:rsidRPr="00850F0B">
        <w:rPr>
          <w:rFonts w:ascii="Times New Roman" w:hAnsi="Times New Roman" w:cs="Times New Roman"/>
          <w:sz w:val="24"/>
          <w:szCs w:val="24"/>
          <w:lang w:val="en-US"/>
        </w:rPr>
        <w:t>(Christensen, 2020).</w:t>
      </w:r>
    </w:p>
    <w:p w14:paraId="649D8D10" w14:textId="1ABE330A" w:rsidR="00FD0ADB" w:rsidRPr="00850F0B" w:rsidRDefault="00522663" w:rsidP="00850F0B">
      <w:pPr>
        <w:spacing w:line="480" w:lineRule="auto"/>
        <w:ind w:firstLine="567"/>
        <w:rPr>
          <w:rFonts w:ascii="Times New Roman" w:hAnsi="Times New Roman" w:cs="Times New Roman"/>
          <w:sz w:val="24"/>
          <w:szCs w:val="24"/>
          <w:lang w:val="en-US"/>
        </w:rPr>
      </w:pPr>
      <w:r w:rsidRPr="00522663">
        <w:t xml:space="preserve"> </w:t>
      </w:r>
      <w:r w:rsidRPr="00522663">
        <w:rPr>
          <w:rFonts w:ascii="Times New Roman" w:hAnsi="Times New Roman" w:cs="Times New Roman"/>
          <w:sz w:val="24"/>
          <w:szCs w:val="24"/>
          <w:lang w:val="en-US"/>
        </w:rPr>
        <w:t>The majority of patients who had puberty suppression as part of their gender-related therapy had a lower risk of suicidal thoughts in the future. When compared to the population who desired treatment but did not receive it, this was a significant difference. In order to improve the mental health outcome, puberty treatment should be combined with psychological care. Because puberty blockers are reversible, they have more advantages than problems. According to doctor Flocier, puberty treatment should not be denied to anyone who requires it, just as asthma medication should not be denied to any youngster (Christensen, 2020). However, the medications are difficult to get by and are prohibitively expensive.</w:t>
      </w:r>
    </w:p>
    <w:p w14:paraId="75835189" w14:textId="4C2AF049" w:rsidR="00FD0ADB" w:rsidRPr="00850F0B" w:rsidRDefault="00FD0ADB" w:rsidP="00850F0B">
      <w:pPr>
        <w:spacing w:line="480" w:lineRule="auto"/>
        <w:ind w:firstLine="567"/>
        <w:jc w:val="center"/>
        <w:rPr>
          <w:rFonts w:ascii="Times New Roman" w:hAnsi="Times New Roman" w:cs="Times New Roman"/>
          <w:b/>
          <w:bCs/>
          <w:sz w:val="24"/>
          <w:szCs w:val="24"/>
          <w:lang w:val="en-US"/>
        </w:rPr>
      </w:pPr>
      <w:r w:rsidRPr="00850F0B">
        <w:rPr>
          <w:rFonts w:ascii="Times New Roman" w:hAnsi="Times New Roman" w:cs="Times New Roman"/>
          <w:b/>
          <w:bCs/>
          <w:sz w:val="24"/>
          <w:szCs w:val="24"/>
          <w:lang w:val="en-US"/>
        </w:rPr>
        <w:t>National Index of LGBTQ+ issues</w:t>
      </w:r>
    </w:p>
    <w:p w14:paraId="3A5A7F18" w14:textId="2119C54F" w:rsidR="006B7E1F" w:rsidRPr="00850F0B" w:rsidRDefault="00FD0ADB" w:rsidP="00850F0B">
      <w:pPr>
        <w:spacing w:line="480" w:lineRule="auto"/>
        <w:ind w:firstLine="567"/>
        <w:rPr>
          <w:rFonts w:ascii="Times New Roman" w:hAnsi="Times New Roman" w:cs="Times New Roman"/>
          <w:sz w:val="24"/>
          <w:szCs w:val="24"/>
          <w:lang w:val="en-US"/>
        </w:rPr>
      </w:pPr>
      <w:r w:rsidRPr="00850F0B">
        <w:rPr>
          <w:rFonts w:ascii="Times New Roman" w:hAnsi="Times New Roman" w:cs="Times New Roman"/>
          <w:sz w:val="24"/>
          <w:szCs w:val="24"/>
          <w:lang w:val="en-US"/>
        </w:rPr>
        <w:t>The municipality equity index improved by 20%in the year 2019 after the evaluation of municipal law for the LGBTQ community. In record, there was a score improvement from 58 to 79 in 2018 and 2019 respectively. The municipality equality index examines the inclusivity of the policies, municipal laws, and services for the LGBTQ</w:t>
      </w:r>
      <w:r w:rsidRPr="00850F0B">
        <w:rPr>
          <w:rFonts w:ascii="Times New Roman" w:hAnsi="Times New Roman" w:cs="Times New Roman"/>
          <w:sz w:val="24"/>
          <w:szCs w:val="24"/>
          <w:lang w:val="en-US"/>
        </w:rPr>
        <w:t xml:space="preserve"> C</w:t>
      </w:r>
      <w:r w:rsidRPr="00850F0B">
        <w:rPr>
          <w:rFonts w:ascii="Times New Roman" w:hAnsi="Times New Roman" w:cs="Times New Roman"/>
          <w:sz w:val="24"/>
          <w:szCs w:val="24"/>
          <w:lang w:val="en-US"/>
        </w:rPr>
        <w:t>ommunity is</w:t>
      </w:r>
      <w:r w:rsidR="00522663">
        <w:rPr>
          <w:rFonts w:ascii="Times New Roman" w:hAnsi="Times New Roman" w:cs="Times New Roman"/>
          <w:sz w:val="24"/>
          <w:szCs w:val="24"/>
          <w:lang w:val="en-US"/>
        </w:rPr>
        <w:t>.</w:t>
      </w:r>
      <w:r w:rsidR="00522663" w:rsidRPr="00522663">
        <w:t xml:space="preserve"> </w:t>
      </w:r>
      <w:r w:rsidR="00522663" w:rsidRPr="00522663">
        <w:rPr>
          <w:rFonts w:ascii="Times New Roman" w:hAnsi="Times New Roman" w:cs="Times New Roman"/>
          <w:sz w:val="24"/>
          <w:szCs w:val="24"/>
          <w:lang w:val="en-US"/>
        </w:rPr>
        <w:t>Rockford received all of the points for nondiscrimination laws, 20 out of 282 as a municipal employer, 12 out of 22 for law enforcement, 6 out of 12 for municipal services, and all of the points for LGBTQ equality leadership (WIFR, 2019).</w:t>
      </w:r>
    </w:p>
    <w:p w14:paraId="5C6DC99B" w14:textId="77777777" w:rsidR="00850F0B" w:rsidRPr="00850F0B" w:rsidRDefault="00850F0B" w:rsidP="00850F0B">
      <w:pPr>
        <w:shd w:val="clear" w:color="auto" w:fill="FFFFFF"/>
        <w:spacing w:after="0" w:line="480" w:lineRule="auto"/>
        <w:jc w:val="center"/>
        <w:rPr>
          <w:rFonts w:ascii="Times New Roman" w:eastAsia="Times New Roman" w:hAnsi="Times New Roman" w:cs="Times New Roman"/>
          <w:color w:val="000000"/>
          <w:sz w:val="24"/>
          <w:szCs w:val="24"/>
          <w:lang w:eastAsia="en-KE"/>
        </w:rPr>
      </w:pPr>
      <w:r w:rsidRPr="00850F0B">
        <w:rPr>
          <w:rFonts w:ascii="Times New Roman" w:eastAsia="Times New Roman" w:hAnsi="Times New Roman" w:cs="Times New Roman"/>
          <w:color w:val="000000"/>
          <w:sz w:val="24"/>
          <w:szCs w:val="24"/>
          <w:lang w:eastAsia="en-KE"/>
        </w:rPr>
        <w:t>References</w:t>
      </w:r>
    </w:p>
    <w:p w14:paraId="7ADC2043" w14:textId="77777777" w:rsidR="00850F0B" w:rsidRPr="00850F0B" w:rsidRDefault="00850F0B" w:rsidP="00850F0B">
      <w:pPr>
        <w:shd w:val="clear" w:color="auto" w:fill="FFFFFF"/>
        <w:spacing w:after="0" w:line="480" w:lineRule="auto"/>
        <w:ind w:left="720" w:right="75" w:hanging="720"/>
        <w:rPr>
          <w:rFonts w:ascii="Times New Roman" w:eastAsia="Times New Roman" w:hAnsi="Times New Roman" w:cs="Times New Roman"/>
          <w:color w:val="000000"/>
          <w:sz w:val="24"/>
          <w:szCs w:val="24"/>
          <w:lang w:eastAsia="en-KE"/>
        </w:rPr>
      </w:pPr>
      <w:r w:rsidRPr="00850F0B">
        <w:rPr>
          <w:rFonts w:ascii="Times New Roman" w:eastAsia="Times New Roman" w:hAnsi="Times New Roman" w:cs="Times New Roman"/>
          <w:color w:val="000000"/>
          <w:sz w:val="24"/>
          <w:szCs w:val="24"/>
          <w:lang w:eastAsia="en-KE"/>
        </w:rPr>
        <w:t>Christensen, J. (2020, January 23). </w:t>
      </w:r>
      <w:r w:rsidRPr="00850F0B">
        <w:rPr>
          <w:rFonts w:ascii="Times New Roman" w:eastAsia="Times New Roman" w:hAnsi="Times New Roman" w:cs="Times New Roman"/>
          <w:i/>
          <w:iCs/>
          <w:color w:val="000000"/>
          <w:sz w:val="24"/>
          <w:szCs w:val="24"/>
          <w:lang w:eastAsia="en-KE"/>
        </w:rPr>
        <w:t>Puberty blockers can be 'life-saving' drugs for trans teens, study shows</w:t>
      </w:r>
      <w:r w:rsidRPr="00850F0B">
        <w:rPr>
          <w:rFonts w:ascii="Times New Roman" w:eastAsia="Times New Roman" w:hAnsi="Times New Roman" w:cs="Times New Roman"/>
          <w:color w:val="000000"/>
          <w:sz w:val="24"/>
          <w:szCs w:val="24"/>
          <w:lang w:eastAsia="en-KE"/>
        </w:rPr>
        <w:t>. CNN. </w:t>
      </w:r>
      <w:hyperlink r:id="rId7" w:history="1">
        <w:r w:rsidRPr="00850F0B">
          <w:rPr>
            <w:rFonts w:ascii="Times New Roman" w:eastAsia="Times New Roman" w:hAnsi="Times New Roman" w:cs="Times New Roman"/>
            <w:color w:val="000000"/>
            <w:sz w:val="24"/>
            <w:szCs w:val="24"/>
            <w:u w:val="single"/>
            <w:lang w:eastAsia="en-KE"/>
          </w:rPr>
          <w:t>https://edition.cnn.com/2020/01/23/health/transgender-puberty-blockers-suicide-study/index.html</w:t>
        </w:r>
      </w:hyperlink>
    </w:p>
    <w:p w14:paraId="69CEAC30" w14:textId="77777777" w:rsidR="00850F0B" w:rsidRPr="00850F0B" w:rsidRDefault="00850F0B" w:rsidP="00850F0B">
      <w:pPr>
        <w:shd w:val="clear" w:color="auto" w:fill="FFFFFF"/>
        <w:spacing w:after="0" w:line="480" w:lineRule="auto"/>
        <w:ind w:left="720" w:right="75" w:hanging="720"/>
        <w:rPr>
          <w:rFonts w:ascii="Times New Roman" w:eastAsia="Times New Roman" w:hAnsi="Times New Roman" w:cs="Times New Roman"/>
          <w:color w:val="000000"/>
          <w:sz w:val="24"/>
          <w:szCs w:val="24"/>
          <w:lang w:eastAsia="en-KE"/>
        </w:rPr>
      </w:pPr>
      <w:r w:rsidRPr="00850F0B">
        <w:rPr>
          <w:rFonts w:ascii="Times New Roman" w:eastAsia="Times New Roman" w:hAnsi="Times New Roman" w:cs="Times New Roman"/>
          <w:color w:val="000000"/>
          <w:sz w:val="24"/>
          <w:szCs w:val="24"/>
          <w:lang w:eastAsia="en-KE"/>
        </w:rPr>
        <w:lastRenderedPageBreak/>
        <w:t>HEALTH LINE. (2021). </w:t>
      </w:r>
      <w:r w:rsidRPr="00850F0B">
        <w:rPr>
          <w:rFonts w:ascii="Times New Roman" w:eastAsia="Times New Roman" w:hAnsi="Times New Roman" w:cs="Times New Roman"/>
          <w:i/>
          <w:iCs/>
          <w:color w:val="000000"/>
          <w:sz w:val="24"/>
          <w:szCs w:val="24"/>
          <w:lang w:eastAsia="en-KE"/>
        </w:rPr>
        <w:t>Error page</w:t>
      </w:r>
      <w:r w:rsidRPr="00850F0B">
        <w:rPr>
          <w:rFonts w:ascii="Times New Roman" w:eastAsia="Times New Roman" w:hAnsi="Times New Roman" w:cs="Times New Roman"/>
          <w:color w:val="000000"/>
          <w:sz w:val="24"/>
          <w:szCs w:val="24"/>
          <w:lang w:eastAsia="en-KE"/>
        </w:rPr>
        <w:t>. Healthline: Medical information and health advice you can trust. </w:t>
      </w:r>
      <w:hyperlink r:id="rId8" w:history="1">
        <w:r w:rsidRPr="00850F0B">
          <w:rPr>
            <w:rFonts w:ascii="Times New Roman" w:eastAsia="Times New Roman" w:hAnsi="Times New Roman" w:cs="Times New Roman"/>
            <w:color w:val="000000"/>
            <w:sz w:val="24"/>
            <w:szCs w:val="24"/>
            <w:u w:val="single"/>
            <w:lang w:eastAsia="en-KE"/>
          </w:rPr>
          <w:t>https://www.healthline.com/health/transgender/misgendering)</w:t>
        </w:r>
      </w:hyperlink>
    </w:p>
    <w:p w14:paraId="38B0A566" w14:textId="77777777" w:rsidR="00850F0B" w:rsidRPr="00850F0B" w:rsidRDefault="00850F0B" w:rsidP="00850F0B">
      <w:pPr>
        <w:shd w:val="clear" w:color="auto" w:fill="FFFFFF"/>
        <w:spacing w:after="0" w:line="480" w:lineRule="auto"/>
        <w:ind w:left="720" w:right="75" w:hanging="720"/>
        <w:rPr>
          <w:rFonts w:ascii="Times New Roman" w:eastAsia="Times New Roman" w:hAnsi="Times New Roman" w:cs="Times New Roman"/>
          <w:color w:val="000000"/>
          <w:sz w:val="24"/>
          <w:szCs w:val="24"/>
          <w:lang w:eastAsia="en-KE"/>
        </w:rPr>
      </w:pPr>
      <w:r w:rsidRPr="00850F0B">
        <w:rPr>
          <w:rFonts w:ascii="Times New Roman" w:eastAsia="Times New Roman" w:hAnsi="Times New Roman" w:cs="Times New Roman"/>
          <w:color w:val="000000"/>
          <w:sz w:val="24"/>
          <w:szCs w:val="24"/>
          <w:lang w:eastAsia="en-KE"/>
        </w:rPr>
        <w:t>WIFR. (2019, November 19). </w:t>
      </w:r>
      <w:r w:rsidRPr="00850F0B">
        <w:rPr>
          <w:rFonts w:ascii="Times New Roman" w:eastAsia="Times New Roman" w:hAnsi="Times New Roman" w:cs="Times New Roman"/>
          <w:i/>
          <w:iCs/>
          <w:color w:val="000000"/>
          <w:sz w:val="24"/>
          <w:szCs w:val="24"/>
          <w:lang w:eastAsia="en-KE"/>
        </w:rPr>
        <w:t>Rockford improves in national index measuring municipal law for LGBTQ people</w:t>
      </w:r>
      <w:r w:rsidRPr="00850F0B">
        <w:rPr>
          <w:rFonts w:ascii="Times New Roman" w:eastAsia="Times New Roman" w:hAnsi="Times New Roman" w:cs="Times New Roman"/>
          <w:color w:val="000000"/>
          <w:sz w:val="24"/>
          <w:szCs w:val="24"/>
          <w:lang w:eastAsia="en-KE"/>
        </w:rPr>
        <w:t>. https://www.wifr.com. </w:t>
      </w:r>
      <w:hyperlink r:id="rId9" w:history="1">
        <w:r w:rsidRPr="00850F0B">
          <w:rPr>
            <w:rFonts w:ascii="Times New Roman" w:eastAsia="Times New Roman" w:hAnsi="Times New Roman" w:cs="Times New Roman"/>
            <w:color w:val="000000"/>
            <w:sz w:val="24"/>
            <w:szCs w:val="24"/>
            <w:u w:val="single"/>
            <w:lang w:eastAsia="en-KE"/>
          </w:rPr>
          <w:t>https://www.wifr.com/content/news/Rockford-improves-in-national-index-measuring-LGBTQ-inclusiveness-565154372.html</w:t>
        </w:r>
      </w:hyperlink>
    </w:p>
    <w:p w14:paraId="34DAF744" w14:textId="77777777" w:rsidR="00850F0B" w:rsidRPr="00850F0B" w:rsidRDefault="00850F0B" w:rsidP="00850F0B">
      <w:pPr>
        <w:spacing w:line="480" w:lineRule="auto"/>
        <w:ind w:firstLine="567"/>
        <w:rPr>
          <w:rFonts w:ascii="Times New Roman" w:hAnsi="Times New Roman" w:cs="Times New Roman"/>
          <w:sz w:val="24"/>
          <w:szCs w:val="24"/>
          <w:lang w:val="en-US"/>
        </w:rPr>
      </w:pPr>
    </w:p>
    <w:sectPr w:rsidR="00850F0B" w:rsidRPr="00850F0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DC016" w14:textId="77777777" w:rsidR="00FB68EA" w:rsidRDefault="00FB68EA" w:rsidP="00FD0ADB">
      <w:pPr>
        <w:spacing w:after="0" w:line="240" w:lineRule="auto"/>
      </w:pPr>
      <w:r>
        <w:separator/>
      </w:r>
    </w:p>
  </w:endnote>
  <w:endnote w:type="continuationSeparator" w:id="0">
    <w:p w14:paraId="4717C6AE" w14:textId="77777777" w:rsidR="00FB68EA" w:rsidRDefault="00FB68EA" w:rsidP="00FD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29853" w14:textId="77777777" w:rsidR="00FB68EA" w:rsidRDefault="00FB68EA" w:rsidP="00FD0ADB">
      <w:pPr>
        <w:spacing w:after="0" w:line="240" w:lineRule="auto"/>
      </w:pPr>
      <w:r>
        <w:separator/>
      </w:r>
    </w:p>
  </w:footnote>
  <w:footnote w:type="continuationSeparator" w:id="0">
    <w:p w14:paraId="518C2270" w14:textId="77777777" w:rsidR="00FB68EA" w:rsidRDefault="00FB68EA" w:rsidP="00FD0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917113"/>
      <w:docPartObj>
        <w:docPartGallery w:val="Page Numbers (Top of Page)"/>
        <w:docPartUnique/>
      </w:docPartObj>
    </w:sdtPr>
    <w:sdtEndPr>
      <w:rPr>
        <w:noProof/>
      </w:rPr>
    </w:sdtEndPr>
    <w:sdtContent>
      <w:p w14:paraId="0788F7CF" w14:textId="4C14C4CD" w:rsidR="00FD0ADB" w:rsidRDefault="00FD0A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36C764" w14:textId="77777777" w:rsidR="00FD0ADB" w:rsidRDefault="00FD0A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F9"/>
    <w:rsid w:val="00116712"/>
    <w:rsid w:val="00160B35"/>
    <w:rsid w:val="00376EFC"/>
    <w:rsid w:val="00522663"/>
    <w:rsid w:val="005971F9"/>
    <w:rsid w:val="006B3730"/>
    <w:rsid w:val="006B7E1F"/>
    <w:rsid w:val="00827BA6"/>
    <w:rsid w:val="00850F0B"/>
    <w:rsid w:val="00EA2C11"/>
    <w:rsid w:val="00F06D76"/>
    <w:rsid w:val="00FB68EA"/>
    <w:rsid w:val="00FD0AD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695EB"/>
  <w15:chartTrackingRefBased/>
  <w15:docId w15:val="{800D2C61-C548-49EC-A55E-DE7C74D3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ADB"/>
  </w:style>
  <w:style w:type="paragraph" w:styleId="Footer">
    <w:name w:val="footer"/>
    <w:basedOn w:val="Normal"/>
    <w:link w:val="FooterChar"/>
    <w:uiPriority w:val="99"/>
    <w:unhideWhenUsed/>
    <w:rsid w:val="00FD0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ADB"/>
  </w:style>
  <w:style w:type="paragraph" w:styleId="NormalWeb">
    <w:name w:val="Normal (Web)"/>
    <w:basedOn w:val="Normal"/>
    <w:uiPriority w:val="99"/>
    <w:semiHidden/>
    <w:unhideWhenUsed/>
    <w:rsid w:val="00850F0B"/>
    <w:pPr>
      <w:spacing w:before="100" w:beforeAutospacing="1" w:after="100" w:afterAutospacing="1" w:line="240" w:lineRule="auto"/>
    </w:pPr>
    <w:rPr>
      <w:rFonts w:ascii="Times New Roman" w:eastAsia="Times New Roman" w:hAnsi="Times New Roman" w:cs="Times New Roman"/>
      <w:sz w:val="24"/>
      <w:szCs w:val="24"/>
      <w:lang w:eastAsia="en-KE"/>
    </w:rPr>
  </w:style>
  <w:style w:type="character" w:styleId="Emphasis">
    <w:name w:val="Emphasis"/>
    <w:basedOn w:val="DefaultParagraphFont"/>
    <w:uiPriority w:val="20"/>
    <w:qFormat/>
    <w:rsid w:val="00850F0B"/>
    <w:rPr>
      <w:i/>
      <w:iCs/>
    </w:rPr>
  </w:style>
  <w:style w:type="character" w:styleId="Hyperlink">
    <w:name w:val="Hyperlink"/>
    <w:basedOn w:val="DefaultParagraphFont"/>
    <w:uiPriority w:val="99"/>
    <w:semiHidden/>
    <w:unhideWhenUsed/>
    <w:rsid w:val="00850F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8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line.com/health/transgender/misgendering)" TargetMode="External"/><Relationship Id="rId3" Type="http://schemas.openxmlformats.org/officeDocument/2006/relationships/settings" Target="settings.xml"/><Relationship Id="rId7" Type="http://schemas.openxmlformats.org/officeDocument/2006/relationships/hyperlink" Target="https://edition.cnn.com/2020/01/23/health/transgender-puberty-blockers-suicide-study/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ifr.com/content/news/Rockford-improves-in-national-index-measuring-LGBTQ-inclusiveness-5651543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247DA-793D-4E56-B1E6-50C0E4E1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Tabz</dc:creator>
  <cp:keywords/>
  <dc:description/>
  <cp:lastModifiedBy>Tabz</cp:lastModifiedBy>
  <cp:revision>2</cp:revision>
  <dcterms:created xsi:type="dcterms:W3CDTF">2021-09-15T17:07:00Z</dcterms:created>
  <dcterms:modified xsi:type="dcterms:W3CDTF">2021-09-15T20:04:00Z</dcterms:modified>
</cp:coreProperties>
</file>